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6" w:rsidRPr="001145D7" w:rsidRDefault="00695896" w:rsidP="00695896">
      <w:pPr>
        <w:spacing w:line="360" w:lineRule="auto"/>
        <w:jc w:val="center"/>
        <w:rPr>
          <w:rFonts w:ascii="Bookman Old Style" w:hAnsi="Bookman Old Style"/>
          <w:b/>
          <w:sz w:val="24"/>
          <w:szCs w:val="20"/>
          <w:u w:val="single"/>
        </w:rPr>
      </w:pPr>
      <w:r w:rsidRPr="001145D7">
        <w:rPr>
          <w:rFonts w:ascii="Bookman Old Style" w:hAnsi="Bookman Old Style"/>
          <w:b/>
          <w:sz w:val="24"/>
          <w:szCs w:val="20"/>
          <w:u w:val="single"/>
        </w:rPr>
        <w:t xml:space="preserve">Invitation for Bid </w:t>
      </w:r>
    </w:p>
    <w:p w:rsidR="00695896" w:rsidRPr="001145D7" w:rsidRDefault="00695896" w:rsidP="00695896">
      <w:pPr>
        <w:spacing w:line="360" w:lineRule="auto"/>
        <w:jc w:val="center"/>
        <w:rPr>
          <w:rFonts w:ascii="Bookman Old Style" w:hAnsi="Bookman Old Style"/>
          <w:b/>
          <w:sz w:val="24"/>
          <w:szCs w:val="20"/>
          <w:u w:val="single"/>
        </w:rPr>
      </w:pPr>
      <w:r w:rsidRPr="001145D7">
        <w:rPr>
          <w:rFonts w:ascii="Bookman Old Style" w:hAnsi="Bookman Old Style"/>
          <w:b/>
          <w:sz w:val="24"/>
          <w:szCs w:val="20"/>
          <w:u w:val="single"/>
        </w:rPr>
        <w:t xml:space="preserve">Bid </w:t>
      </w:r>
      <w:proofErr w:type="spellStart"/>
      <w:r w:rsidRPr="001145D7">
        <w:rPr>
          <w:rFonts w:ascii="Bookman Old Style" w:hAnsi="Bookman Old Style"/>
          <w:b/>
          <w:sz w:val="24"/>
          <w:szCs w:val="20"/>
          <w:u w:val="single"/>
        </w:rPr>
        <w:t>Ref.No</w:t>
      </w:r>
      <w:proofErr w:type="spellEnd"/>
      <w:r w:rsidRPr="001145D7">
        <w:rPr>
          <w:rFonts w:ascii="Bookman Old Style" w:hAnsi="Bookman Old Style"/>
          <w:b/>
          <w:sz w:val="24"/>
          <w:szCs w:val="20"/>
          <w:u w:val="single"/>
        </w:rPr>
        <w:t>. PPPDS/</w:t>
      </w:r>
      <w:proofErr w:type="spellStart"/>
      <w:r w:rsidRPr="001145D7">
        <w:rPr>
          <w:rFonts w:ascii="Bookman Old Style" w:hAnsi="Bookman Old Style"/>
          <w:b/>
          <w:sz w:val="24"/>
          <w:szCs w:val="20"/>
          <w:u w:val="single"/>
        </w:rPr>
        <w:t>MoRRPAFCA</w:t>
      </w:r>
      <w:proofErr w:type="spellEnd"/>
      <w:r w:rsidRPr="001145D7">
        <w:rPr>
          <w:rFonts w:ascii="Bookman Old Style" w:hAnsi="Bookman Old Style"/>
          <w:b/>
          <w:sz w:val="24"/>
          <w:szCs w:val="20"/>
          <w:u w:val="single"/>
        </w:rPr>
        <w:t>/NCB/PG/142/05/2012</w:t>
      </w:r>
    </w:p>
    <w:p w:rsidR="00695896" w:rsidRPr="00632FB1" w:rsidRDefault="00695896" w:rsidP="00695896">
      <w:pPr>
        <w:spacing w:line="276" w:lineRule="auto"/>
        <w:jc w:val="center"/>
        <w:rPr>
          <w:rFonts w:ascii="Power Geez Unicode1" w:hAnsi="Power Geez Unicode1"/>
          <w:b/>
          <w:i/>
          <w:sz w:val="10"/>
          <w:szCs w:val="26"/>
          <w:u w:val="double"/>
        </w:rPr>
      </w:pPr>
    </w:p>
    <w:p w:rsidR="00695896" w:rsidRPr="00253860" w:rsidRDefault="00695896" w:rsidP="00695896">
      <w:pPr>
        <w:numPr>
          <w:ilvl w:val="0"/>
          <w:numId w:val="1"/>
        </w:numPr>
        <w:spacing w:after="200" w:line="276" w:lineRule="auto"/>
        <w:ind w:right="-90"/>
        <w:contextualSpacing/>
        <w:jc w:val="both"/>
        <w:rPr>
          <w:rFonts w:eastAsia="Calibri"/>
          <w:sz w:val="24"/>
          <w:szCs w:val="24"/>
          <w:lang/>
        </w:rPr>
      </w:pPr>
      <w:r w:rsidRPr="000734FC">
        <w:rPr>
          <w:rFonts w:eastAsia="Calibri"/>
          <w:sz w:val="24"/>
          <w:lang/>
        </w:rPr>
        <w:t>The Public Procurement and Property Disposal Service (</w:t>
      </w:r>
      <w:r w:rsidRPr="000734FC">
        <w:rPr>
          <w:rFonts w:eastAsia="Calibri"/>
          <w:b/>
          <w:sz w:val="24"/>
          <w:lang/>
        </w:rPr>
        <w:t>PPPDS</w:t>
      </w:r>
      <w:r w:rsidRPr="000734FC">
        <w:rPr>
          <w:rFonts w:eastAsia="Calibri"/>
          <w:sz w:val="24"/>
          <w:lang/>
        </w:rPr>
        <w:t xml:space="preserve">) on behalf of </w:t>
      </w:r>
      <w:r w:rsidRPr="00253860">
        <w:rPr>
          <w:rFonts w:eastAsia="Calibri"/>
          <w:sz w:val="24"/>
          <w:szCs w:val="24"/>
          <w:lang/>
        </w:rPr>
        <w:t xml:space="preserve">Ministry of Revenue </w:t>
      </w:r>
      <w:r w:rsidRPr="00253860">
        <w:rPr>
          <w:rFonts w:eastAsia="Calibri"/>
          <w:sz w:val="24"/>
          <w:szCs w:val="24"/>
          <w:lang/>
        </w:rPr>
        <w:t xml:space="preserve">Procurement of </w:t>
      </w:r>
      <w:r w:rsidRPr="00253860">
        <w:rPr>
          <w:rFonts w:eastAsia="Calibri"/>
          <w:sz w:val="24"/>
          <w:szCs w:val="24"/>
          <w:lang/>
        </w:rPr>
        <w:t xml:space="preserve"> </w:t>
      </w:r>
      <w:r w:rsidRPr="00253860">
        <w:rPr>
          <w:rFonts w:eastAsia="Calibri"/>
          <w:b/>
          <w:sz w:val="24"/>
          <w:szCs w:val="24"/>
          <w:lang/>
        </w:rPr>
        <w:t>Laptop Computers core i9</w:t>
      </w:r>
      <w:r>
        <w:rPr>
          <w:rFonts w:eastAsia="Calibri"/>
          <w:b/>
          <w:sz w:val="24"/>
          <w:szCs w:val="24"/>
          <w:lang/>
        </w:rPr>
        <w:t>,</w:t>
      </w:r>
      <w:r w:rsidRPr="00253860">
        <w:rPr>
          <w:rFonts w:eastAsia="Calibri"/>
          <w:sz w:val="24"/>
          <w:szCs w:val="24"/>
          <w:lang/>
        </w:rPr>
        <w:t xml:space="preserve"> for Ethiopian Radiation Protection Authority </w:t>
      </w:r>
      <w:r w:rsidRPr="00253860">
        <w:rPr>
          <w:rFonts w:eastAsia="Calibri"/>
          <w:b/>
          <w:sz w:val="24"/>
          <w:szCs w:val="24"/>
          <w:lang/>
        </w:rPr>
        <w:t>2KVA single phase UPS</w:t>
      </w:r>
      <w:r w:rsidRPr="00253860">
        <w:rPr>
          <w:rFonts w:eastAsia="Calibri"/>
          <w:sz w:val="24"/>
          <w:lang/>
        </w:rPr>
        <w:t xml:space="preserve"> </w:t>
      </w:r>
      <w:r w:rsidRPr="00253860">
        <w:rPr>
          <w:rFonts w:eastAsia="Calibri"/>
          <w:sz w:val="24"/>
          <w:szCs w:val="24"/>
          <w:lang/>
        </w:rPr>
        <w:t>and</w:t>
      </w:r>
      <w:r w:rsidRPr="00253860">
        <w:rPr>
          <w:rFonts w:eastAsia="Calibri"/>
          <w:sz w:val="24"/>
          <w:lang/>
        </w:rPr>
        <w:t xml:space="preserve"> </w:t>
      </w:r>
      <w:r>
        <w:rPr>
          <w:rFonts w:eastAsia="Calibri"/>
          <w:sz w:val="24"/>
          <w:lang/>
        </w:rPr>
        <w:t xml:space="preserve">for </w:t>
      </w:r>
      <w:r w:rsidRPr="00253860">
        <w:rPr>
          <w:rFonts w:eastAsia="Calibri"/>
          <w:sz w:val="24"/>
          <w:lang/>
        </w:rPr>
        <w:t>Ethiopia</w:t>
      </w:r>
      <w:r w:rsidRPr="00253860">
        <w:rPr>
          <w:rFonts w:eastAsia="Calibri"/>
          <w:sz w:val="24"/>
          <w:lang/>
        </w:rPr>
        <w:t>n</w:t>
      </w:r>
      <w:r w:rsidRPr="00253860">
        <w:rPr>
          <w:rFonts w:eastAsia="Calibri"/>
          <w:sz w:val="24"/>
          <w:lang/>
        </w:rPr>
        <w:t xml:space="preserve"> Cooperative Agency for the</w:t>
      </w:r>
      <w:r w:rsidRPr="00253860">
        <w:rPr>
          <w:rFonts w:eastAsia="Calibri"/>
          <w:sz w:val="24"/>
          <w:lang/>
        </w:rPr>
        <w:t xml:space="preserve"> </w:t>
      </w:r>
      <w:r w:rsidRPr="00253860">
        <w:rPr>
          <w:rFonts w:eastAsia="Calibri"/>
          <w:sz w:val="24"/>
          <w:szCs w:val="24"/>
          <w:lang/>
        </w:rPr>
        <w:t xml:space="preserve">Procurement of </w:t>
      </w:r>
      <w:r w:rsidRPr="00253860">
        <w:rPr>
          <w:rFonts w:eastAsia="Calibri"/>
          <w:sz w:val="24"/>
          <w:szCs w:val="24"/>
          <w:lang/>
        </w:rPr>
        <w:t xml:space="preserve"> </w:t>
      </w:r>
      <w:r w:rsidRPr="00253860">
        <w:rPr>
          <w:rFonts w:eastAsia="Calibri"/>
          <w:b/>
          <w:sz w:val="24"/>
          <w:szCs w:val="24"/>
          <w:lang/>
        </w:rPr>
        <w:t xml:space="preserve">176 KVA </w:t>
      </w:r>
      <w:r w:rsidRPr="00253860">
        <w:rPr>
          <w:rFonts w:eastAsia="Calibri"/>
          <w:b/>
          <w:sz w:val="24"/>
          <w:szCs w:val="24"/>
          <w:lang/>
        </w:rPr>
        <w:t>Stand by Generator</w:t>
      </w:r>
      <w:r w:rsidRPr="00253860">
        <w:rPr>
          <w:rFonts w:eastAsia="Calibri"/>
          <w:b/>
          <w:sz w:val="24"/>
          <w:szCs w:val="24"/>
          <w:lang/>
        </w:rPr>
        <w:t>.</w:t>
      </w:r>
    </w:p>
    <w:p w:rsidR="00695896" w:rsidRPr="000734FC" w:rsidRDefault="00695896" w:rsidP="006958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lang/>
        </w:rPr>
      </w:pPr>
      <w:r w:rsidRPr="000734FC">
        <w:rPr>
          <w:rFonts w:eastAsia="Calibri"/>
          <w:sz w:val="24"/>
          <w:lang/>
        </w:rPr>
        <w:t xml:space="preserve">The PPPDS invites sealed bids from </w:t>
      </w:r>
      <w:r>
        <w:rPr>
          <w:rFonts w:ascii="Bookman Old Style" w:hAnsi="Bookman Old Style"/>
          <w:iCs/>
          <w:sz w:val="24"/>
          <w:szCs w:val="28"/>
        </w:rPr>
        <w:t>local</w:t>
      </w:r>
      <w:r w:rsidRPr="000734FC">
        <w:rPr>
          <w:rFonts w:ascii="Bookman Old Style" w:hAnsi="Bookman Old Style"/>
          <w:iCs/>
          <w:sz w:val="24"/>
          <w:szCs w:val="28"/>
        </w:rPr>
        <w:t xml:space="preserve"> </w:t>
      </w:r>
      <w:r w:rsidRPr="000734FC">
        <w:rPr>
          <w:rFonts w:eastAsia="Calibri"/>
          <w:sz w:val="24"/>
          <w:lang/>
        </w:rPr>
        <w:t>eligible bidders for the supply and delivery of goods mentioned above.</w:t>
      </w:r>
    </w:p>
    <w:p w:rsidR="00695896" w:rsidRPr="00632FB1" w:rsidRDefault="00695896" w:rsidP="006958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lang/>
        </w:rPr>
      </w:pPr>
      <w:r w:rsidRPr="00632FB1">
        <w:rPr>
          <w:rFonts w:eastAsia="Calibri"/>
          <w:sz w:val="24"/>
          <w:lang/>
        </w:rPr>
        <w:t>Bidding will be conducted in accordance with the open national tendering procedures</w:t>
      </w:r>
      <w:r>
        <w:rPr>
          <w:rFonts w:eastAsia="Calibri"/>
          <w:sz w:val="24"/>
          <w:lang/>
        </w:rPr>
        <w:t xml:space="preserve"> </w:t>
      </w:r>
      <w:r w:rsidRPr="00632FB1">
        <w:rPr>
          <w:rFonts w:eastAsia="Calibri"/>
          <w:sz w:val="24"/>
          <w:lang/>
        </w:rPr>
        <w:t>contained in the Public Procurement and property administration Proclamation of the Government of the Federal Democratic Republic of Ethiopia and is open to all</w:t>
      </w:r>
      <w:r w:rsidRPr="007D5CCB">
        <w:t xml:space="preserve"> </w:t>
      </w:r>
      <w:r w:rsidRPr="00632FB1">
        <w:rPr>
          <w:rFonts w:eastAsia="Calibri"/>
          <w:sz w:val="24"/>
          <w:lang/>
        </w:rPr>
        <w:t>eligible</w:t>
      </w:r>
      <w:r w:rsidRPr="001B20BA">
        <w:rPr>
          <w:rFonts w:eastAsia="Calibri"/>
          <w:sz w:val="24"/>
          <w:lang/>
        </w:rPr>
        <w:t xml:space="preserve"> </w:t>
      </w:r>
      <w:r>
        <w:rPr>
          <w:rFonts w:eastAsia="Calibri"/>
          <w:sz w:val="24"/>
          <w:lang/>
        </w:rPr>
        <w:t xml:space="preserve">local </w:t>
      </w:r>
      <w:r w:rsidRPr="00632FB1">
        <w:rPr>
          <w:rFonts w:eastAsia="Calibri"/>
          <w:sz w:val="24"/>
          <w:lang/>
        </w:rPr>
        <w:t xml:space="preserve"> bidders. .</w:t>
      </w:r>
    </w:p>
    <w:p w:rsidR="00695896" w:rsidRPr="00632FB1" w:rsidRDefault="00695896" w:rsidP="006958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lang/>
        </w:rPr>
      </w:pPr>
      <w:r w:rsidRPr="00632FB1">
        <w:rPr>
          <w:rFonts w:eastAsia="Calibri"/>
          <w:sz w:val="24"/>
          <w:lang/>
        </w:rPr>
        <w:t xml:space="preserve"> Interested </w:t>
      </w:r>
      <w:r>
        <w:rPr>
          <w:rFonts w:eastAsia="Calibri"/>
          <w:sz w:val="24"/>
          <w:lang/>
        </w:rPr>
        <w:t>l</w:t>
      </w:r>
      <w:r>
        <w:rPr>
          <w:rFonts w:ascii="Bookman Old Style" w:hAnsi="Bookman Old Style"/>
          <w:iCs/>
          <w:sz w:val="24"/>
          <w:szCs w:val="28"/>
        </w:rPr>
        <w:t xml:space="preserve">ocal </w:t>
      </w:r>
      <w:r w:rsidRPr="00632FB1">
        <w:rPr>
          <w:rFonts w:eastAsia="Calibri"/>
          <w:sz w:val="24"/>
          <w:lang/>
        </w:rPr>
        <w:t>eligible bidders may obtain further information from PPPDS and inspect the bidding document at the address given below at 7 (a) from 8:30 am to 5:30 pm.</w:t>
      </w:r>
    </w:p>
    <w:p w:rsidR="00695896" w:rsidRPr="00632FB1" w:rsidRDefault="00695896" w:rsidP="006958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lang/>
        </w:rPr>
      </w:pPr>
      <w:r w:rsidRPr="00632FB1">
        <w:rPr>
          <w:rFonts w:eastAsia="Calibri"/>
          <w:sz w:val="24"/>
          <w:lang/>
        </w:rPr>
        <w:t xml:space="preserve">A complete set of bidding documents in English may be purchased by interested bidders at the address given below at 7(a) upon payment of a non-refundable fee of </w:t>
      </w:r>
      <w:r>
        <w:rPr>
          <w:rFonts w:eastAsia="Calibri"/>
          <w:b/>
          <w:bCs/>
          <w:sz w:val="28"/>
          <w:lang/>
        </w:rPr>
        <w:t>10</w:t>
      </w:r>
      <w:r w:rsidRPr="009F04C6">
        <w:rPr>
          <w:rFonts w:eastAsia="Calibri"/>
          <w:b/>
          <w:bCs/>
          <w:sz w:val="28"/>
          <w:lang/>
        </w:rPr>
        <w:t>0.00 birr</w:t>
      </w:r>
      <w:r w:rsidRPr="009F04C6">
        <w:rPr>
          <w:rFonts w:eastAsia="Calibri"/>
          <w:sz w:val="24"/>
          <w:lang/>
        </w:rPr>
        <w:t>.</w:t>
      </w:r>
      <w:r w:rsidRPr="00632FB1">
        <w:rPr>
          <w:rFonts w:eastAsia="Calibri"/>
          <w:sz w:val="24"/>
          <w:lang/>
        </w:rPr>
        <w:t xml:space="preserve"> </w:t>
      </w:r>
      <w:r w:rsidRPr="00632FB1">
        <w:rPr>
          <w:rFonts w:eastAsia="Calibri"/>
          <w:b/>
          <w:sz w:val="24"/>
          <w:lang/>
        </w:rPr>
        <w:t>The method of payment will be in cash.</w:t>
      </w:r>
    </w:p>
    <w:p w:rsidR="00695896" w:rsidRPr="00632FB1" w:rsidRDefault="00695896" w:rsidP="00695896">
      <w:pPr>
        <w:numPr>
          <w:ilvl w:val="0"/>
          <w:numId w:val="1"/>
        </w:numPr>
        <w:spacing w:before="60" w:after="200" w:line="276" w:lineRule="auto"/>
        <w:jc w:val="both"/>
        <w:rPr>
          <w:bCs/>
          <w:sz w:val="24"/>
          <w:lang w:val="en-GB"/>
        </w:rPr>
      </w:pPr>
      <w:r w:rsidRPr="00632FB1">
        <w:rPr>
          <w:sz w:val="24"/>
        </w:rPr>
        <w:t xml:space="preserve">Bid must be delivered to the Address below at 7(b) </w:t>
      </w:r>
      <w:r w:rsidRPr="00632FB1">
        <w:rPr>
          <w:b/>
          <w:sz w:val="24"/>
        </w:rPr>
        <w:t>on or before 10:00 am on</w:t>
      </w:r>
      <w:r>
        <w:rPr>
          <w:sz w:val="24"/>
        </w:rPr>
        <w:t xml:space="preserve"> </w:t>
      </w:r>
      <w:r w:rsidRPr="00E924BF">
        <w:rPr>
          <w:b/>
          <w:bCs/>
          <w:sz w:val="24"/>
        </w:rPr>
        <w:t xml:space="preserve">March </w:t>
      </w:r>
      <w:r>
        <w:rPr>
          <w:b/>
          <w:bCs/>
          <w:sz w:val="24"/>
        </w:rPr>
        <w:t>4</w:t>
      </w:r>
      <w:r w:rsidRPr="00E924BF">
        <w:rPr>
          <w:b/>
          <w:bCs/>
          <w:sz w:val="24"/>
        </w:rPr>
        <w:t>,</w:t>
      </w:r>
      <w:r>
        <w:rPr>
          <w:rFonts w:ascii="Nyala" w:hAnsi="Nyala"/>
          <w:b/>
          <w:bCs/>
          <w:sz w:val="24"/>
        </w:rPr>
        <w:t xml:space="preserve"> </w:t>
      </w:r>
      <w:r>
        <w:rPr>
          <w:b/>
          <w:bCs/>
          <w:sz w:val="24"/>
        </w:rPr>
        <w:t>2020</w:t>
      </w:r>
      <w:r w:rsidRPr="00632FB1">
        <w:rPr>
          <w:b/>
          <w:bCs/>
          <w:sz w:val="24"/>
        </w:rPr>
        <w:t>.</w:t>
      </w:r>
    </w:p>
    <w:p w:rsidR="00695896" w:rsidRPr="00562685" w:rsidRDefault="00695896" w:rsidP="00695896">
      <w:pPr>
        <w:numPr>
          <w:ilvl w:val="0"/>
          <w:numId w:val="1"/>
        </w:numPr>
        <w:spacing w:before="60" w:after="200" w:line="276" w:lineRule="auto"/>
        <w:jc w:val="both"/>
        <w:rPr>
          <w:bCs/>
          <w:color w:val="FF0000"/>
          <w:sz w:val="24"/>
          <w:lang w:val="en-GB"/>
        </w:rPr>
      </w:pPr>
      <w:r w:rsidRPr="00632FB1">
        <w:rPr>
          <w:bCs/>
          <w:sz w:val="24"/>
        </w:rPr>
        <w:t>Bids must be ac</w:t>
      </w:r>
      <w:r>
        <w:rPr>
          <w:bCs/>
          <w:sz w:val="24"/>
        </w:rPr>
        <w:t>companied by a bid security in the form of CPO or Bank</w:t>
      </w:r>
      <w:r w:rsidRPr="00632FB1">
        <w:rPr>
          <w:bCs/>
          <w:sz w:val="24"/>
        </w:rPr>
        <w:t xml:space="preserve"> guarantee from</w:t>
      </w:r>
      <w:r>
        <w:rPr>
          <w:bCs/>
          <w:sz w:val="24"/>
        </w:rPr>
        <w:t xml:space="preserve"> local</w:t>
      </w:r>
      <w:r w:rsidRPr="00632FB1">
        <w:rPr>
          <w:bCs/>
          <w:sz w:val="24"/>
        </w:rPr>
        <w:t xml:space="preserve"> Commercial Banks.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420"/>
        <w:gridCol w:w="3132"/>
      </w:tblGrid>
      <w:tr w:rsidR="00695896" w:rsidRPr="00706018" w:rsidTr="007D41FF">
        <w:trPr>
          <w:trHeight w:val="323"/>
        </w:trPr>
        <w:tc>
          <w:tcPr>
            <w:tcW w:w="90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GB"/>
              </w:rPr>
            </w:pPr>
            <w:r w:rsidRPr="00706018">
              <w:rPr>
                <w:bCs/>
                <w:lang w:val="en-GB"/>
              </w:rPr>
              <w:t>Lot no.</w:t>
            </w:r>
          </w:p>
        </w:tc>
        <w:tc>
          <w:tcPr>
            <w:tcW w:w="342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en-GB"/>
              </w:rPr>
            </w:pPr>
            <w:r w:rsidRPr="00706018">
              <w:rPr>
                <w:b/>
                <w:bCs/>
                <w:lang w:val="en-GB"/>
              </w:rPr>
              <w:t>Descriptions of goods</w:t>
            </w:r>
          </w:p>
        </w:tc>
        <w:tc>
          <w:tcPr>
            <w:tcW w:w="3132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FF0000"/>
                <w:lang w:val="en-GB"/>
              </w:rPr>
            </w:pPr>
            <w:r w:rsidRPr="00706018">
              <w:rPr>
                <w:bCs/>
              </w:rPr>
              <w:t>bid security amount in Birr</w:t>
            </w:r>
          </w:p>
        </w:tc>
      </w:tr>
      <w:tr w:rsidR="00695896" w:rsidRPr="00706018" w:rsidTr="007D41FF">
        <w:tc>
          <w:tcPr>
            <w:tcW w:w="90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GB"/>
              </w:rPr>
            </w:pPr>
            <w:r w:rsidRPr="00706018">
              <w:rPr>
                <w:bCs/>
                <w:lang w:val="en-GB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FF0000"/>
                <w:lang w:val="en-GB"/>
              </w:rPr>
            </w:pPr>
            <w:r w:rsidRPr="00706018">
              <w:rPr>
                <w:rFonts w:eastAsia="Calibri"/>
                <w:b/>
                <w:szCs w:val="24"/>
                <w:lang/>
              </w:rPr>
              <w:t>Laptop Computers core i9</w:t>
            </w:r>
          </w:p>
        </w:tc>
        <w:tc>
          <w:tcPr>
            <w:tcW w:w="3132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en-GB"/>
              </w:rPr>
            </w:pPr>
            <w:r w:rsidRPr="00706018">
              <w:rPr>
                <w:b/>
                <w:bCs/>
                <w:lang w:val="en-GB"/>
              </w:rPr>
              <w:t>10,000.00</w:t>
            </w:r>
          </w:p>
        </w:tc>
      </w:tr>
      <w:tr w:rsidR="00695896" w:rsidRPr="00706018" w:rsidTr="007D41FF">
        <w:tc>
          <w:tcPr>
            <w:tcW w:w="90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GB"/>
              </w:rPr>
            </w:pPr>
            <w:r w:rsidRPr="00706018">
              <w:rPr>
                <w:bCs/>
                <w:lang w:val="en-GB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FF0000"/>
                <w:lang w:val="en-GB"/>
              </w:rPr>
            </w:pPr>
            <w:r w:rsidRPr="00706018">
              <w:rPr>
                <w:rFonts w:eastAsia="Calibri"/>
                <w:b/>
                <w:szCs w:val="24"/>
                <w:lang/>
              </w:rPr>
              <w:t>2KVA single phase UPS</w:t>
            </w:r>
          </w:p>
        </w:tc>
        <w:tc>
          <w:tcPr>
            <w:tcW w:w="3132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en-GB"/>
              </w:rPr>
            </w:pPr>
            <w:r w:rsidRPr="00706018">
              <w:rPr>
                <w:b/>
                <w:bCs/>
                <w:lang w:val="en-GB"/>
              </w:rPr>
              <w:t>5,000.00</w:t>
            </w:r>
          </w:p>
        </w:tc>
      </w:tr>
      <w:tr w:rsidR="00695896" w:rsidRPr="00706018" w:rsidTr="007D41FF">
        <w:tc>
          <w:tcPr>
            <w:tcW w:w="90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GB"/>
              </w:rPr>
            </w:pPr>
            <w:r w:rsidRPr="00706018">
              <w:rPr>
                <w:bCs/>
                <w:lang w:val="en-GB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FF0000"/>
                <w:lang w:val="en-GB"/>
              </w:rPr>
            </w:pPr>
            <w:r w:rsidRPr="00706018">
              <w:rPr>
                <w:rFonts w:eastAsia="Calibri"/>
                <w:b/>
                <w:szCs w:val="24"/>
                <w:lang/>
              </w:rPr>
              <w:t xml:space="preserve">176 KVA </w:t>
            </w:r>
            <w:r w:rsidRPr="00706018">
              <w:rPr>
                <w:rFonts w:eastAsia="Calibri"/>
                <w:b/>
                <w:szCs w:val="24"/>
                <w:lang/>
              </w:rPr>
              <w:t>Stand by Generator</w:t>
            </w:r>
          </w:p>
        </w:tc>
        <w:tc>
          <w:tcPr>
            <w:tcW w:w="3132" w:type="dxa"/>
            <w:shd w:val="clear" w:color="auto" w:fill="auto"/>
          </w:tcPr>
          <w:p w:rsidR="00695896" w:rsidRPr="00706018" w:rsidRDefault="00695896" w:rsidP="007D41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en-GB"/>
              </w:rPr>
            </w:pPr>
            <w:r w:rsidRPr="00706018">
              <w:rPr>
                <w:b/>
                <w:bCs/>
                <w:lang w:val="en-GB"/>
              </w:rPr>
              <w:t>50,000.00</w:t>
            </w:r>
          </w:p>
        </w:tc>
      </w:tr>
    </w:tbl>
    <w:p w:rsidR="00695896" w:rsidRPr="00632FB1" w:rsidRDefault="00695896" w:rsidP="00695896">
      <w:pPr>
        <w:spacing w:line="276" w:lineRule="auto"/>
        <w:ind w:left="720"/>
        <w:jc w:val="both"/>
        <w:rPr>
          <w:bCs/>
          <w:lang w:val="en-GB"/>
        </w:rPr>
      </w:pPr>
      <w:r w:rsidRPr="00632FB1">
        <w:rPr>
          <w:bCs/>
          <w:sz w:val="24"/>
        </w:rPr>
        <w:t xml:space="preserve">Bids will be opened in the presence of the bidders’ representatives who choose to attend at the address below at 7 (b) </w:t>
      </w:r>
      <w:r w:rsidRPr="00632FB1">
        <w:rPr>
          <w:b/>
          <w:bCs/>
          <w:sz w:val="24"/>
        </w:rPr>
        <w:t xml:space="preserve">at 10: 15 am on </w:t>
      </w:r>
      <w:r w:rsidRPr="00E924BF">
        <w:rPr>
          <w:b/>
          <w:bCs/>
          <w:sz w:val="24"/>
        </w:rPr>
        <w:t xml:space="preserve">March </w:t>
      </w:r>
      <w:r>
        <w:rPr>
          <w:b/>
          <w:bCs/>
          <w:sz w:val="24"/>
        </w:rPr>
        <w:t>4</w:t>
      </w:r>
      <w:r w:rsidRPr="00E924BF">
        <w:rPr>
          <w:b/>
          <w:bCs/>
          <w:sz w:val="24"/>
        </w:rPr>
        <w:t>,</w:t>
      </w:r>
      <w:r>
        <w:rPr>
          <w:rFonts w:ascii="Nyala" w:hAnsi="Nyala"/>
          <w:b/>
          <w:bCs/>
          <w:sz w:val="24"/>
        </w:rPr>
        <w:t xml:space="preserve"> </w:t>
      </w:r>
      <w:r w:rsidRPr="00632F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020</w:t>
      </w:r>
      <w:r w:rsidRPr="00632FB1">
        <w:rPr>
          <w:bCs/>
        </w:rPr>
        <w:t>.</w:t>
      </w:r>
    </w:p>
    <w:p w:rsidR="00695896" w:rsidRPr="00632FB1" w:rsidRDefault="00695896" w:rsidP="00695896">
      <w:pPr>
        <w:spacing w:line="276" w:lineRule="auto"/>
        <w:ind w:left="630"/>
        <w:contextualSpacing/>
        <w:jc w:val="both"/>
        <w:rPr>
          <w:rFonts w:eastAsia="Calibri"/>
          <w:sz w:val="24"/>
          <w:lang/>
        </w:rPr>
      </w:pPr>
      <w:r w:rsidRPr="00632FB1">
        <w:rPr>
          <w:rFonts w:eastAsia="Calibri"/>
          <w:sz w:val="24"/>
          <w:lang/>
        </w:rPr>
        <w:t>(a) Documents will be issued at Ministry of Finance, compound No.2, block No 5, room No. 10</w:t>
      </w:r>
      <w:r>
        <w:rPr>
          <w:rFonts w:eastAsia="Calibri"/>
          <w:sz w:val="24"/>
          <w:lang/>
        </w:rPr>
        <w:t>1</w:t>
      </w:r>
      <w:r w:rsidRPr="00632FB1">
        <w:rPr>
          <w:rFonts w:eastAsia="Calibri"/>
          <w:sz w:val="24"/>
          <w:lang/>
        </w:rPr>
        <w:t xml:space="preserve"> or 110 Telephone 011-1223722/011-1223755</w:t>
      </w:r>
    </w:p>
    <w:p w:rsidR="00695896" w:rsidRPr="00632FB1" w:rsidRDefault="00695896" w:rsidP="00695896">
      <w:pPr>
        <w:tabs>
          <w:tab w:val="left" w:pos="630"/>
        </w:tabs>
        <w:spacing w:after="200" w:line="276" w:lineRule="auto"/>
        <w:ind w:left="720"/>
        <w:contextualSpacing/>
        <w:jc w:val="both"/>
        <w:rPr>
          <w:rFonts w:eastAsia="Calibri"/>
          <w:sz w:val="24"/>
          <w:lang/>
        </w:rPr>
      </w:pPr>
      <w:r w:rsidRPr="00632FB1">
        <w:rPr>
          <w:rFonts w:eastAsia="Calibri"/>
          <w:sz w:val="24"/>
          <w:lang/>
        </w:rPr>
        <w:t>(b) Bids must be delivered to, and will be opened at Ministry of Finance</w:t>
      </w:r>
      <w:r w:rsidRPr="00632FB1">
        <w:rPr>
          <w:rFonts w:ascii="Bookman Old Style" w:eastAsia="Calibri" w:hAnsi="Bookman Old Style"/>
          <w:sz w:val="24"/>
          <w:lang/>
        </w:rPr>
        <w:t>,</w:t>
      </w:r>
      <w:r w:rsidRPr="00632FB1">
        <w:rPr>
          <w:rFonts w:eastAsia="Calibri"/>
          <w:sz w:val="24"/>
          <w:lang/>
        </w:rPr>
        <w:t xml:space="preserve">   compound No.2, PPPDS, Block No 5, Conference Hall (second floor.)</w:t>
      </w:r>
    </w:p>
    <w:p w:rsidR="00695896" w:rsidRPr="00632FB1" w:rsidRDefault="00695896" w:rsidP="00695896">
      <w:pPr>
        <w:spacing w:after="200" w:line="276" w:lineRule="auto"/>
        <w:contextualSpacing/>
        <w:jc w:val="both"/>
        <w:rPr>
          <w:rFonts w:eastAsia="Calibri"/>
          <w:sz w:val="24"/>
          <w:lang/>
        </w:rPr>
      </w:pPr>
      <w:r w:rsidRPr="00632FB1">
        <w:rPr>
          <w:rFonts w:eastAsia="Calibri"/>
          <w:sz w:val="24"/>
          <w:lang/>
        </w:rPr>
        <w:t xml:space="preserve">        8. PPPDS reserves the right to reject any or all bids</w:t>
      </w:r>
      <w:r>
        <w:rPr>
          <w:rFonts w:eastAsia="Calibri"/>
          <w:sz w:val="24"/>
          <w:lang/>
        </w:rPr>
        <w:t>.</w:t>
      </w:r>
      <w:r w:rsidRPr="00632FB1">
        <w:rPr>
          <w:rFonts w:eastAsia="Calibri"/>
          <w:sz w:val="24"/>
          <w:lang/>
        </w:rPr>
        <w:t xml:space="preserve"> </w:t>
      </w:r>
    </w:p>
    <w:p w:rsidR="00695896" w:rsidRPr="00632FB1" w:rsidRDefault="00695896" w:rsidP="00695896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/>
        </w:rPr>
      </w:pPr>
      <w:r>
        <w:rPr>
          <w:rFonts w:eastAsia="Calibri"/>
          <w:lang/>
        </w:rPr>
        <w:t xml:space="preserve">                        </w:t>
      </w:r>
      <w:r w:rsidRPr="00632FB1">
        <w:rPr>
          <w:rFonts w:eastAsia="Calibri"/>
          <w:b/>
          <w:sz w:val="28"/>
          <w:szCs w:val="28"/>
          <w:lang/>
        </w:rPr>
        <w:t>Public Procurement and Property Disposal Service</w:t>
      </w:r>
    </w:p>
    <w:p w:rsidR="00695896" w:rsidRDefault="00695896" w:rsidP="00695896">
      <w:pPr>
        <w:spacing w:line="276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2667C" w:rsidRDefault="0092667C">
      <w:bookmarkStart w:id="0" w:name="_GoBack"/>
      <w:bookmarkEnd w:id="0"/>
    </w:p>
    <w:sectPr w:rsidR="0092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5CA"/>
    <w:multiLevelType w:val="hybridMultilevel"/>
    <w:tmpl w:val="B26C8DFE"/>
    <w:lvl w:ilvl="0" w:tplc="CB10CA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F42CCA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96"/>
    <w:rsid w:val="00695896"/>
    <w:rsid w:val="009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96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96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2020-02-17T11:42:00Z</dcterms:created>
  <dcterms:modified xsi:type="dcterms:W3CDTF">2020-02-17T11:43:00Z</dcterms:modified>
</cp:coreProperties>
</file>